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关于对连云港港口</w:t>
      </w:r>
      <w:r>
        <w:rPr>
          <w:rFonts w:ascii="宋体" w:hAnsi="宋体"/>
          <w:b/>
          <w:bCs/>
          <w:sz w:val="44"/>
          <w:szCs w:val="44"/>
        </w:rPr>
        <w:t>集团有限公司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上合</w:t>
      </w:r>
      <w:r>
        <w:rPr>
          <w:rFonts w:ascii="宋体" w:hAnsi="宋体"/>
          <w:b/>
          <w:bCs/>
          <w:sz w:val="44"/>
          <w:szCs w:val="44"/>
        </w:rPr>
        <w:t>组织（</w:t>
      </w:r>
      <w:r>
        <w:rPr>
          <w:rFonts w:hint="eastAsia" w:ascii="宋体" w:hAnsi="宋体"/>
          <w:b/>
          <w:bCs/>
          <w:sz w:val="44"/>
          <w:szCs w:val="44"/>
        </w:rPr>
        <w:t>连云港</w:t>
      </w:r>
      <w:r>
        <w:rPr>
          <w:rFonts w:ascii="宋体" w:hAnsi="宋体"/>
          <w:b/>
          <w:bCs/>
          <w:sz w:val="44"/>
          <w:szCs w:val="44"/>
        </w:rPr>
        <w:t>）</w:t>
      </w:r>
      <w:r>
        <w:rPr>
          <w:rFonts w:hint="eastAsia" w:ascii="宋体" w:hAnsi="宋体"/>
          <w:b/>
          <w:bCs/>
          <w:sz w:val="44"/>
          <w:szCs w:val="44"/>
        </w:rPr>
        <w:t>国际</w:t>
      </w:r>
      <w:r>
        <w:rPr>
          <w:rFonts w:ascii="宋体" w:hAnsi="宋体"/>
          <w:b/>
          <w:bCs/>
          <w:sz w:val="44"/>
          <w:szCs w:val="44"/>
        </w:rPr>
        <w:t>物流园中哈物流集散中心工程</w:t>
      </w:r>
      <w:r>
        <w:rPr>
          <w:rFonts w:hint="eastAsia" w:ascii="宋体" w:hAnsi="宋体"/>
          <w:b/>
          <w:bCs/>
          <w:sz w:val="44"/>
          <w:szCs w:val="44"/>
        </w:rPr>
        <w:t>环境影响报告表的批复</w:t>
      </w:r>
    </w:p>
    <w:p>
      <w:pPr>
        <w:pStyle w:val="2"/>
        <w:spacing w:line="440" w:lineRule="exact"/>
        <w:jc w:val="both"/>
        <w:rPr>
          <w:rFonts w:hint="eastAsia" w:eastAsia="仿宋_GB2312"/>
          <w:bCs w:val="0"/>
          <w:sz w:val="32"/>
        </w:rPr>
      </w:pPr>
    </w:p>
    <w:p>
      <w:pPr>
        <w:pStyle w:val="2"/>
        <w:spacing w:line="440" w:lineRule="exact"/>
        <w:jc w:val="both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连云港港口</w:t>
      </w:r>
      <w:r>
        <w:rPr>
          <w:rFonts w:ascii="仿宋_GB2312" w:eastAsia="仿宋_GB2312"/>
          <w:b w:val="0"/>
          <w:bCs w:val="0"/>
          <w:sz w:val="32"/>
          <w:szCs w:val="32"/>
        </w:rPr>
        <w:t>集团有限公司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bCs/>
          <w:sz w:val="32"/>
          <w:szCs w:val="32"/>
        </w:rPr>
        <w:t>公司委托江苏绿源</w:t>
      </w:r>
      <w:r>
        <w:rPr>
          <w:rFonts w:ascii="仿宋_GB2312" w:eastAsia="仿宋_GB2312"/>
          <w:bCs/>
          <w:sz w:val="32"/>
          <w:szCs w:val="32"/>
        </w:rPr>
        <w:t>工程</w:t>
      </w:r>
      <w:r>
        <w:rPr>
          <w:rFonts w:hint="eastAsia" w:ascii="仿宋_GB2312" w:eastAsia="仿宋_GB2312"/>
          <w:bCs/>
          <w:sz w:val="32"/>
          <w:szCs w:val="32"/>
        </w:rPr>
        <w:t>设计</w:t>
      </w:r>
      <w:r>
        <w:rPr>
          <w:rFonts w:ascii="仿宋_GB2312" w:eastAsia="仿宋_GB2312"/>
          <w:bCs/>
          <w:sz w:val="32"/>
          <w:szCs w:val="32"/>
        </w:rPr>
        <w:t>研究有限公司</w:t>
      </w:r>
      <w:r>
        <w:rPr>
          <w:rFonts w:hint="eastAsia" w:ascii="仿宋_GB2312" w:eastAsia="仿宋_GB2312"/>
          <w:bCs/>
          <w:sz w:val="32"/>
          <w:szCs w:val="32"/>
        </w:rPr>
        <w:t>编制的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bCs/>
          <w:sz w:val="32"/>
        </w:rPr>
        <w:t>上合</w:t>
      </w:r>
      <w:r>
        <w:rPr>
          <w:rFonts w:ascii="仿宋_GB2312" w:eastAsia="仿宋_GB2312"/>
          <w:bCs/>
          <w:sz w:val="32"/>
        </w:rPr>
        <w:t>组织（</w:t>
      </w:r>
      <w:r>
        <w:rPr>
          <w:rFonts w:hint="eastAsia" w:ascii="仿宋_GB2312" w:eastAsia="仿宋_GB2312"/>
          <w:bCs/>
          <w:sz w:val="32"/>
        </w:rPr>
        <w:t>连云港</w:t>
      </w:r>
      <w:r>
        <w:rPr>
          <w:rFonts w:ascii="仿宋_GB2312" w:eastAsia="仿宋_GB2312"/>
          <w:bCs/>
          <w:sz w:val="32"/>
        </w:rPr>
        <w:t>）</w:t>
      </w:r>
      <w:r>
        <w:rPr>
          <w:rFonts w:hint="eastAsia" w:ascii="仿宋_GB2312" w:eastAsia="仿宋_GB2312"/>
          <w:bCs/>
          <w:sz w:val="32"/>
        </w:rPr>
        <w:t>国际</w:t>
      </w:r>
      <w:r>
        <w:rPr>
          <w:rFonts w:ascii="仿宋_GB2312" w:eastAsia="仿宋_GB2312"/>
          <w:bCs/>
          <w:sz w:val="32"/>
        </w:rPr>
        <w:t>物流园中哈物流集散中心工程</w:t>
      </w:r>
      <w:r>
        <w:rPr>
          <w:rFonts w:hint="eastAsia" w:ascii="仿宋_GB2312" w:eastAsia="仿宋_GB2312"/>
          <w:bCs/>
          <w:sz w:val="32"/>
          <w:szCs w:val="32"/>
        </w:rPr>
        <w:t>环境</w:t>
      </w:r>
      <w:r>
        <w:rPr>
          <w:rFonts w:hint="eastAsia" w:ascii="仿宋_GB2312" w:eastAsia="仿宋_GB2312"/>
          <w:sz w:val="32"/>
          <w:szCs w:val="32"/>
        </w:rPr>
        <w:t>影响报告表》（以下简称“报告表”）收悉。经研究，批复如下：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一、该项目位于上合</w:t>
      </w:r>
      <w:r>
        <w:rPr>
          <w:rFonts w:ascii="仿宋_GB2312" w:eastAsia="仿宋_GB2312"/>
          <w:sz w:val="32"/>
          <w:szCs w:val="32"/>
        </w:rPr>
        <w:t>组织（</w:t>
      </w:r>
      <w:r>
        <w:rPr>
          <w:rFonts w:hint="eastAsia" w:ascii="仿宋_GB2312" w:eastAsia="仿宋_GB2312"/>
          <w:sz w:val="32"/>
          <w:szCs w:val="32"/>
        </w:rPr>
        <w:t>连云港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国际</w:t>
      </w:r>
      <w:r>
        <w:rPr>
          <w:rFonts w:ascii="仿宋_GB2312" w:eastAsia="仿宋_GB2312"/>
          <w:sz w:val="32"/>
          <w:szCs w:val="32"/>
        </w:rPr>
        <w:t>物流园内，</w:t>
      </w:r>
      <w:r>
        <w:rPr>
          <w:rFonts w:hint="eastAsia" w:ascii="仿宋_GB2312" w:eastAsia="仿宋_GB2312"/>
          <w:sz w:val="32"/>
          <w:szCs w:val="32"/>
        </w:rPr>
        <w:t>总投资</w:t>
      </w:r>
      <w:r>
        <w:rPr>
          <w:rFonts w:ascii="仿宋_GB2312" w:eastAsia="仿宋_GB2312"/>
          <w:sz w:val="32"/>
          <w:szCs w:val="32"/>
        </w:rPr>
        <w:t>93223</w:t>
      </w:r>
      <w:r>
        <w:rPr>
          <w:rFonts w:hint="eastAsia" w:ascii="仿宋_GB2312" w:eastAsia="仿宋_GB2312"/>
          <w:sz w:val="32"/>
          <w:szCs w:val="32"/>
        </w:rPr>
        <w:t>万元，占地43</w:t>
      </w:r>
      <w:r>
        <w:rPr>
          <w:rFonts w:ascii="仿宋_GB2312" w:eastAsia="仿宋_GB2312"/>
          <w:sz w:val="32"/>
          <w:szCs w:val="32"/>
        </w:rPr>
        <w:t>5501</w:t>
      </w:r>
      <w:r>
        <w:rPr>
          <w:rFonts w:hint="eastAsia" w:ascii="仿宋_GB2312" w:eastAsia="仿宋_GB2312"/>
          <w:sz w:val="32"/>
          <w:szCs w:val="32"/>
        </w:rPr>
        <w:t>平方米。主要建设堆存区、仓储区及生产配套</w:t>
      </w:r>
      <w:r>
        <w:rPr>
          <w:rFonts w:ascii="仿宋_GB2312" w:eastAsia="仿宋_GB2312"/>
          <w:sz w:val="32"/>
          <w:szCs w:val="32"/>
        </w:rPr>
        <w:t>服务三大功能区</w:t>
      </w:r>
      <w:r>
        <w:rPr>
          <w:rFonts w:hint="eastAsia" w:ascii="仿宋_GB2312" w:eastAsia="仿宋_GB2312"/>
          <w:sz w:val="32"/>
          <w:szCs w:val="32"/>
        </w:rPr>
        <w:t>，其中堆场面积25380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平方米，仓库</w:t>
      </w:r>
      <w:r>
        <w:rPr>
          <w:rFonts w:ascii="仿宋_GB2312" w:eastAsia="仿宋_GB2312"/>
          <w:sz w:val="32"/>
          <w:szCs w:val="32"/>
        </w:rPr>
        <w:t>建筑面积</w:t>
      </w:r>
      <w:r>
        <w:rPr>
          <w:rFonts w:hint="eastAsia" w:ascii="仿宋_GB2312" w:eastAsia="仿宋_GB2312"/>
          <w:sz w:val="32"/>
          <w:szCs w:val="32"/>
        </w:rPr>
        <w:t>36547平方米，</w:t>
      </w:r>
      <w:r>
        <w:rPr>
          <w:rFonts w:ascii="仿宋_GB2312" w:eastAsia="仿宋_GB2312"/>
          <w:sz w:val="32"/>
          <w:szCs w:val="32"/>
        </w:rPr>
        <w:t>另建设办公用房、机修车间、材料库等生产辅助设施</w:t>
      </w:r>
      <w:r>
        <w:rPr>
          <w:rFonts w:hint="eastAsia" w:ascii="仿宋_GB2312" w:eastAsia="仿宋_GB2312"/>
          <w:sz w:val="32"/>
          <w:szCs w:val="32"/>
        </w:rPr>
        <w:t>。项目仅集装箱</w:t>
      </w:r>
      <w:r>
        <w:rPr>
          <w:rFonts w:ascii="仿宋_GB2312" w:eastAsia="仿宋_GB2312"/>
          <w:sz w:val="32"/>
          <w:szCs w:val="32"/>
        </w:rPr>
        <w:t>、件杂货</w:t>
      </w:r>
      <w:r>
        <w:rPr>
          <w:rFonts w:hint="eastAsia" w:ascii="仿宋_GB2312" w:eastAsia="仿宋_GB2312"/>
          <w:sz w:val="32"/>
          <w:szCs w:val="32"/>
        </w:rPr>
        <w:t>等货物，不得储存危险物品。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根据“报告表”评价结论，在落实“报告表”中提出的各项污染防治措施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生态保护措施的前提下，从环保角度考虑，同意你公司按“报告表”所述内容进行建设。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二、在工程设计、建设和环境管理过程中，你公司必须逐项落实报告表中提出的环保要求，严格执行环保“三同时”制度，确保各类污染物稳定达标排放。并须着重做好以下工作：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加强施工期管理。在场地平整及施工过程中，要采取定期洒水、布置围栏和使用商品混凝土等有效措施，减少扬尘对周围环境空气质量的影响；对施工过程中产生的建筑垃圾及时清运，运输车辆要净车出场、加盖篷布，不得沿途抛洒。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sz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(二) 项目施工期生产废水沉淀后回用；运营期含油废水经油水分离器处理后与生活污水一起</w:t>
      </w:r>
      <w:r>
        <w:rPr>
          <w:rFonts w:hint="eastAsia" w:ascii="仿宋_GB2312" w:eastAsia="仿宋_GB2312"/>
          <w:sz w:val="32"/>
        </w:rPr>
        <w:t>经预处理达《污水排入城市下水道水质标准》（CJ343－2010）标准要求后</w:t>
      </w:r>
      <w:r>
        <w:rPr>
          <w:rFonts w:hint="eastAsia" w:ascii="仿宋_GB2312" w:eastAsia="仿宋_GB2312"/>
          <w:sz w:val="32"/>
          <w:szCs w:val="32"/>
        </w:rPr>
        <w:t>排入城市污水管网，</w:t>
      </w:r>
      <w:r>
        <w:rPr>
          <w:rFonts w:hint="eastAsia" w:ascii="仿宋_GB2312" w:eastAsia="仿宋_GB2312"/>
          <w:sz w:val="32"/>
        </w:rPr>
        <w:t>进入板桥污水处理厂集中处理后排放。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</w:t>
      </w:r>
      <w:r>
        <w:rPr>
          <w:rFonts w:hint="eastAsia" w:ascii="仿宋_GB2312" w:eastAsia="仿宋_GB2312"/>
          <w:sz w:val="32"/>
        </w:rPr>
        <w:t xml:space="preserve"> 运输车辆采用封闭式运输或对车辆加盖篷布，货物的装卸、发放过程中要采取切实可行的除尘措施，减少粉尘对周围环境的影响，确保粉尘达到《大气污染物综合排放标准》GB16297-1996中无组织</w:t>
      </w:r>
      <w:r>
        <w:rPr>
          <w:rFonts w:ascii="仿宋_GB2312" w:eastAsia="仿宋_GB2312"/>
          <w:sz w:val="32"/>
        </w:rPr>
        <w:t>排放浓度</w:t>
      </w:r>
      <w:r>
        <w:rPr>
          <w:rFonts w:hint="eastAsia" w:ascii="仿宋_GB2312" w:eastAsia="仿宋_GB2312"/>
          <w:sz w:val="32"/>
        </w:rPr>
        <w:t>限值。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(四)严格执行噪声施工期污染防治有关规定，合理安排施工时间，确保施工噪声满足《建筑施工场界环境噪声排放标准》（GB12523-2011）；</w:t>
      </w:r>
      <w:r>
        <w:rPr>
          <w:rFonts w:hint="eastAsia" w:ascii="仿宋_GB2312" w:eastAsia="仿宋_GB2312"/>
          <w:color w:val="000000"/>
          <w:sz w:val="32"/>
          <w:szCs w:val="32"/>
        </w:rPr>
        <w:t>选用低噪声设备，高噪声设备须合理布局并采取有效的减振、隔声、消声措施，厂界噪声须满足《工业企业厂界环境噪声排放标准》（GB12348-2008）3类标准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(五)固体废物实现分类收集、综合利用。生活垃圾</w:t>
      </w:r>
      <w:r>
        <w:rPr>
          <w:rFonts w:hint="eastAsia" w:ascii="仿宋_GB2312" w:eastAsia="仿宋_GB2312"/>
          <w:sz w:val="32"/>
        </w:rPr>
        <w:t>日产日清，及时送环卫部门处理；废机油、废</w:t>
      </w:r>
      <w:r>
        <w:rPr>
          <w:rFonts w:ascii="仿宋_GB2312" w:eastAsia="仿宋_GB2312"/>
          <w:sz w:val="32"/>
        </w:rPr>
        <w:t>油渣</w:t>
      </w:r>
      <w:r>
        <w:rPr>
          <w:rFonts w:hint="eastAsia" w:ascii="仿宋_GB2312" w:eastAsia="仿宋_GB2312"/>
          <w:sz w:val="32"/>
        </w:rPr>
        <w:t>委托有资质的单位处理。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项目建设期间的现场环境监督管理由市环监局环保局负责。该项目的环保设施必须与主体工程同时建成，项目建成后，须通过我局环保“三同时”竣工验收方可投入运营。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四、项目的性质、规模、地点或者防治污染、防止生态破坏的措施发生重大变化的，环评文件须报我局重新审批。项目自批准之日起超过五年方开工建设的，环评文件须报我局重新审核.</w:t>
      </w:r>
    </w:p>
    <w:p>
      <w:pPr>
        <w:spacing w:line="480" w:lineRule="exact"/>
        <w:ind w:firstLine="4800" w:firstLineChars="1500"/>
        <w:rPr>
          <w:rFonts w:hint="eastAsia" w:ascii="仿宋_GB2312" w:eastAsia="仿宋_GB2312"/>
          <w:sz w:val="32"/>
        </w:rPr>
      </w:pPr>
    </w:p>
    <w:p>
      <w:pPr>
        <w:spacing w:line="480" w:lineRule="exact"/>
        <w:ind w:firstLine="5440" w:firstLineChars="1700"/>
        <w:rPr>
          <w:rFonts w:ascii="仿宋_GB2312" w:eastAsia="仿宋_GB2312"/>
          <w:sz w:val="32"/>
        </w:rPr>
      </w:pPr>
    </w:p>
    <w:p>
      <w:pPr>
        <w:spacing w:line="480" w:lineRule="exact"/>
        <w:ind w:firstLine="5440" w:firstLineChars="1700"/>
        <w:rPr>
          <w:rFonts w:ascii="仿宋_GB2312" w:eastAsia="仿宋_GB2312"/>
          <w:sz w:val="32"/>
        </w:rPr>
      </w:pPr>
    </w:p>
    <w:p>
      <w:pPr>
        <w:spacing w:line="480" w:lineRule="exact"/>
        <w:ind w:firstLine="5440" w:firstLineChars="17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2015</w:t>
      </w:r>
      <w:r>
        <w:rPr>
          <w:rFonts w:hint="eastAsia" w:ascii="仿宋_GB2312" w:hAnsi="仿宋_GB2312" w:eastAsia="仿宋_GB2312" w:cs="仿宋_GB2312"/>
          <w:sz w:val="32"/>
        </w:rPr>
        <w:t>年12月</w:t>
      </w:r>
      <w:r>
        <w:rPr>
          <w:rFonts w:ascii="仿宋_GB2312" w:hAnsi="仿宋_GB2312" w:eastAsia="仿宋_GB2312" w:cs="仿宋_GB2312"/>
          <w:sz w:val="32"/>
        </w:rPr>
        <w:t>29</w:t>
      </w:r>
      <w:r>
        <w:rPr>
          <w:rFonts w:hint="eastAsia" w:ascii="仿宋_GB2312" w:eastAsia="仿宋_GB2312"/>
          <w:sz w:val="32"/>
        </w:rPr>
        <w:t>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4163F"/>
    <w:rsid w:val="460416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2016-01-27T07:37:00Z</dcterms:created>
  <dc:creator>Administrator</dc:creator>
  <cp:lastModifiedBy>Administrator</cp:lastModifiedBy>
  <dcterms:modified xsi:type="dcterms:W3CDTF">2016-01-27T07:37:49Z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